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F5" w:rsidRPr="009057F5" w:rsidRDefault="009057F5" w:rsidP="009057F5">
      <w:pPr>
        <w:widowControl/>
        <w:spacing w:line="600" w:lineRule="atLeast"/>
        <w:jc w:val="center"/>
        <w:rPr>
          <w:rFonts w:ascii="Calibri" w:eastAsia="宋体" w:hAnsi="Calibri" w:cs="宋体"/>
          <w:kern w:val="0"/>
          <w:szCs w:val="21"/>
        </w:rPr>
      </w:pPr>
      <w:r w:rsidRPr="009057F5">
        <w:rPr>
          <w:rFonts w:ascii="宋体" w:eastAsia="宋体" w:hAnsi="宋体" w:cs="宋体" w:hint="eastAsia"/>
          <w:b/>
          <w:bCs/>
          <w:kern w:val="0"/>
          <w:sz w:val="44"/>
          <w:szCs w:val="44"/>
        </w:rPr>
        <w:t>新型冠状病毒肺炎救治定点医院院内感染预防与控制评估量表（试行）</w:t>
      </w:r>
    </w:p>
    <w:p w:rsidR="009057F5" w:rsidRPr="009057F5" w:rsidRDefault="009057F5" w:rsidP="009057F5">
      <w:pPr>
        <w:widowControl/>
        <w:ind w:firstLine="640"/>
        <w:jc w:val="left"/>
        <w:rPr>
          <w:rFonts w:ascii="宋体" w:eastAsia="宋体" w:hAnsi="宋体" w:cs="宋体"/>
          <w:kern w:val="0"/>
          <w:sz w:val="27"/>
          <w:szCs w:val="27"/>
        </w:rPr>
      </w:pPr>
      <w:r w:rsidRPr="009057F5">
        <w:rPr>
          <w:rFonts w:ascii="MS Mincho" w:eastAsia="MS Mincho" w:hAnsi="MS Mincho" w:cs="MS Mincho" w:hint="eastAsia"/>
          <w:kern w:val="0"/>
          <w:sz w:val="32"/>
          <w:szCs w:val="32"/>
        </w:rPr>
        <w:t> </w:t>
      </w:r>
    </w:p>
    <w:p w:rsidR="009057F5" w:rsidRPr="009057F5" w:rsidRDefault="009057F5" w:rsidP="009057F5">
      <w:pPr>
        <w:widowControl/>
        <w:rPr>
          <w:rFonts w:ascii="Calibri" w:eastAsia="宋体" w:hAnsi="Calibri" w:cs="宋体" w:hint="eastAsia"/>
          <w:kern w:val="0"/>
          <w:szCs w:val="21"/>
        </w:rPr>
      </w:pPr>
      <w:r w:rsidRPr="009057F5">
        <w:rPr>
          <w:rFonts w:ascii="Calibri" w:eastAsia="宋体" w:hAnsi="Calibri" w:cs="宋体"/>
          <w:kern w:val="0"/>
          <w:szCs w:val="21"/>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5"/>
        <w:gridCol w:w="1357"/>
        <w:gridCol w:w="5470"/>
        <w:gridCol w:w="858"/>
      </w:tblGrid>
      <w:tr w:rsidR="009057F5" w:rsidRPr="009057F5" w:rsidTr="009057F5">
        <w:trPr>
          <w:trHeight w:val="668"/>
        </w:trPr>
        <w:tc>
          <w:tcPr>
            <w:tcW w:w="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b/>
                <w:bCs/>
                <w:kern w:val="0"/>
                <w:sz w:val="24"/>
                <w:szCs w:val="24"/>
              </w:rPr>
              <w:t>一级指标</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b/>
                <w:bCs/>
                <w:kern w:val="0"/>
                <w:sz w:val="24"/>
                <w:szCs w:val="24"/>
              </w:rPr>
              <w:t>二级指标</w:t>
            </w:r>
          </w:p>
        </w:tc>
        <w:tc>
          <w:tcPr>
            <w:tcW w:w="5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b/>
                <w:bCs/>
                <w:kern w:val="0"/>
                <w:sz w:val="24"/>
                <w:szCs w:val="24"/>
              </w:rPr>
              <w:t>三级指标</w:t>
            </w:r>
          </w:p>
        </w:tc>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b/>
                <w:bCs/>
                <w:kern w:val="0"/>
                <w:sz w:val="24"/>
                <w:szCs w:val="24"/>
              </w:rPr>
              <w:t>是/否</w:t>
            </w:r>
          </w:p>
        </w:tc>
      </w:tr>
      <w:tr w:rsidR="009057F5" w:rsidRPr="009057F5" w:rsidTr="009057F5">
        <w:trPr>
          <w:trHeight w:val="90"/>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spacing w:line="90" w:lineRule="atLeast"/>
              <w:jc w:val="center"/>
              <w:rPr>
                <w:rFonts w:ascii="Calibri" w:eastAsia="宋体" w:hAnsi="Calibri" w:cs="宋体"/>
                <w:kern w:val="0"/>
                <w:szCs w:val="21"/>
              </w:rPr>
            </w:pPr>
            <w:r w:rsidRPr="009057F5">
              <w:rPr>
                <w:rFonts w:ascii="仿宋" w:eastAsia="仿宋" w:hAnsi="仿宋" w:cs="宋体" w:hint="eastAsia"/>
                <w:kern w:val="0"/>
                <w:sz w:val="24"/>
                <w:szCs w:val="24"/>
              </w:rPr>
              <w:t>医院管理</w:t>
            </w:r>
          </w:p>
        </w:tc>
        <w:tc>
          <w:tcPr>
            <w:tcW w:w="13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spacing w:line="90" w:lineRule="atLeast"/>
              <w:jc w:val="center"/>
              <w:rPr>
                <w:rFonts w:ascii="Calibri" w:eastAsia="宋体" w:hAnsi="Calibri" w:cs="宋体"/>
                <w:kern w:val="0"/>
                <w:szCs w:val="21"/>
              </w:rPr>
            </w:pPr>
            <w:r w:rsidRPr="009057F5">
              <w:rPr>
                <w:rFonts w:ascii="仿宋" w:eastAsia="仿宋" w:hAnsi="仿宋" w:cs="宋体" w:hint="eastAsia"/>
                <w:kern w:val="0"/>
                <w:sz w:val="24"/>
                <w:szCs w:val="24"/>
              </w:rPr>
              <w:t>管理组织架构</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spacing w:line="90" w:lineRule="atLeast"/>
              <w:rPr>
                <w:rFonts w:ascii="Calibri" w:eastAsia="宋体" w:hAnsi="Calibri" w:cs="宋体"/>
                <w:kern w:val="0"/>
                <w:szCs w:val="21"/>
              </w:rPr>
            </w:pPr>
            <w:r w:rsidRPr="009057F5">
              <w:rPr>
                <w:rFonts w:ascii="仿宋" w:eastAsia="仿宋" w:hAnsi="仿宋" w:cs="宋体" w:hint="eastAsia"/>
                <w:kern w:val="0"/>
                <w:sz w:val="24"/>
                <w:szCs w:val="24"/>
              </w:rPr>
              <w:t>住院床位总数在100张以上的定点医院成立独立的具有行政管理职能的院内感控部门，不得合并在医务、护理等职能部门内；住院床位总数在100张以下的，指定分管院内感染管理工作的部门。</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p w:rsidR="009057F5" w:rsidRPr="009057F5" w:rsidRDefault="009057F5" w:rsidP="009057F5">
            <w:pPr>
              <w:widowControl/>
              <w:spacing w:line="90" w:lineRule="atLeast"/>
              <w:jc w:val="left"/>
              <w:rPr>
                <w:rFonts w:ascii="Calibri" w:eastAsia="宋体" w:hAnsi="Calibri" w:cs="宋体"/>
                <w:kern w:val="0"/>
                <w:szCs w:val="21"/>
              </w:rPr>
            </w:pPr>
            <w:r w:rsidRPr="009057F5">
              <w:rPr>
                <w:rFonts w:ascii="仿宋" w:eastAsia="仿宋" w:hAnsi="仿宋" w:cs="宋体" w:hint="eastAsia"/>
                <w:kern w:val="0"/>
                <w:szCs w:val="21"/>
              </w:rPr>
              <w:t xml:space="preserve">　</w:t>
            </w:r>
          </w:p>
        </w:tc>
      </w:tr>
      <w:tr w:rsidR="009057F5" w:rsidRPr="009057F5" w:rsidTr="009057F5">
        <w:trPr>
          <w:trHeight w:val="96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每200-250张实际使用病床配备至少1名感控专职人员；各科室指定专人负责本科室感控工作。250张以下实际使用病床的定点医院设感控专(兼)职人员。</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tc>
      </w:tr>
      <w:tr w:rsidR="009057F5" w:rsidRPr="009057F5" w:rsidTr="009057F5">
        <w:trPr>
          <w:trHeight w:val="939"/>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工作机制</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有规范的院内新冠肺炎病例报告、收治、会诊、转诊及出院工作流程制度。</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tc>
      </w:tr>
      <w:tr w:rsidR="009057F5" w:rsidRPr="009057F5" w:rsidTr="009057F5">
        <w:trPr>
          <w:trHeight w:val="64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建立院内感控巡查整改制度，定期各科室进行巡查，梳理风险隐患，建立问题台账，销帐落实。</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tc>
      </w:tr>
      <w:tr w:rsidR="009057F5" w:rsidRPr="009057F5" w:rsidTr="009057F5">
        <w:trPr>
          <w:trHeight w:val="78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完善感控工作制度和预警机制，优化工作流程，制订不同情况下的应急预案。</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tc>
      </w:tr>
      <w:tr w:rsidR="009057F5" w:rsidRPr="009057F5" w:rsidTr="009057F5">
        <w:trPr>
          <w:trHeight w:val="1285"/>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建立健康状况监测报告制度，每日报告工作人员健康状况。</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Cs w:val="21"/>
              </w:rPr>
              <w:t xml:space="preserve">　</w:t>
            </w:r>
          </w:p>
        </w:tc>
      </w:tr>
      <w:tr w:rsidR="009057F5" w:rsidRPr="009057F5" w:rsidTr="009057F5">
        <w:trPr>
          <w:trHeight w:val="320"/>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建筑布局与硬件</w:t>
            </w:r>
          </w:p>
        </w:tc>
        <w:tc>
          <w:tcPr>
            <w:tcW w:w="13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隔离病区设置</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隔离病区建筑布局符合呼吸道传染病防控标准和规范。</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MS Mincho" w:eastAsia="MS Mincho" w:hAnsi="MS Mincho" w:cs="MS Mincho" w:hint="eastAsia"/>
                <w:kern w:val="0"/>
                <w:szCs w:val="21"/>
              </w:rPr>
              <w:t> </w:t>
            </w:r>
          </w:p>
        </w:tc>
      </w:tr>
      <w:tr w:rsidR="009057F5" w:rsidRPr="009057F5" w:rsidTr="009057F5">
        <w:trPr>
          <w:trHeight w:val="134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仿宋" w:eastAsia="仿宋" w:hAnsi="仿宋" w:cs="宋体" w:hint="eastAsia"/>
                <w:kern w:val="0"/>
                <w:sz w:val="24"/>
                <w:szCs w:val="24"/>
              </w:rPr>
              <w:t>将境外输入和本土散发新冠肺炎确诊病例及无症状感染者集中收治于院内独立区域的独立病房楼。</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Cs w:val="21"/>
              </w:rPr>
              <w:t xml:space="preserve">　</w:t>
            </w:r>
          </w:p>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Cs w:val="21"/>
              </w:rPr>
              <w:t xml:space="preserve">　</w:t>
            </w:r>
          </w:p>
          <w:p w:rsidR="009057F5" w:rsidRPr="009057F5" w:rsidRDefault="009057F5" w:rsidP="009057F5">
            <w:pPr>
              <w:widowControl/>
              <w:rPr>
                <w:rFonts w:ascii="Calibri" w:eastAsia="宋体" w:hAnsi="Calibri" w:cs="宋体"/>
                <w:kern w:val="0"/>
                <w:szCs w:val="21"/>
              </w:rPr>
            </w:pPr>
            <w:r w:rsidRPr="009057F5">
              <w:rPr>
                <w:rFonts w:ascii="MS Mincho" w:eastAsia="MS Mincho" w:hAnsi="MS Mincho" w:cs="MS Mincho" w:hint="eastAsia"/>
                <w:kern w:val="0"/>
                <w:szCs w:val="21"/>
              </w:rPr>
              <w:t> </w:t>
            </w:r>
          </w:p>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Cs w:val="21"/>
              </w:rPr>
              <w:t xml:space="preserve">　</w:t>
            </w:r>
            <w:r w:rsidRPr="009057F5">
              <w:rPr>
                <w:rFonts w:ascii="等线" w:eastAsia="等线" w:hAnsi="Calibri" w:cs="宋体" w:hint="eastAsia"/>
                <w:kern w:val="0"/>
                <w:szCs w:val="21"/>
              </w:rPr>
              <w:t xml:space="preserve">　</w:t>
            </w:r>
          </w:p>
        </w:tc>
      </w:tr>
      <w:tr w:rsidR="009057F5" w:rsidRPr="009057F5" w:rsidTr="009057F5">
        <w:trPr>
          <w:trHeight w:val="939"/>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医疗资源配置</w:t>
            </w:r>
            <w:r w:rsidRPr="009057F5">
              <w:rPr>
                <w:rFonts w:ascii="仿宋" w:eastAsia="仿宋" w:hAnsi="仿宋" w:cs="宋体" w:hint="eastAsia"/>
                <w:kern w:val="0"/>
                <w:sz w:val="24"/>
                <w:szCs w:val="24"/>
              </w:rPr>
              <w:br/>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医护人员配置</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设置合理调配人力资源和安排班次。隔离病区工作人员相对固定，在隔离病区内开展相关工作时，保障每一岗位均有2人同时在岗。</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64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健康监测</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对高风险岗位工作人员开展核酸检测频率达到隔日一次，非高风险一线工作人员每周一次。</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945"/>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物资储备</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配足、配齐急救、抢救、重症救治、监护、检测等仪器设备，做好医用耗材、药品、防护装备、消毒用品等各类医疗用品的储备工作。</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640"/>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lastRenderedPageBreak/>
              <w:t>培训情况</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评估全员培训考核开展情况</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建立感控全员培训制度，制定感控全员培训方案和培训计划。</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64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工勤人员培训情况</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对保安、保洁等工勤人员开展感控培训，确保其掌握感控的基础卫生学、消毒隔离知识和个人防护知识与技能，并在工作中正确运用。</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MS Mincho" w:eastAsia="MS Mincho" w:hAnsi="MS Mincho" w:cs="MS Mincho" w:hint="eastAsia"/>
                <w:kern w:val="0"/>
                <w:szCs w:val="21"/>
              </w:rPr>
              <w:t> </w:t>
            </w:r>
          </w:p>
        </w:tc>
      </w:tr>
      <w:tr w:rsidR="009057F5" w:rsidRPr="009057F5" w:rsidTr="009057F5">
        <w:trPr>
          <w:trHeight w:val="1357"/>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高风险科室和部门培训情况</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对发热门诊、急诊、感染性疾病科、呼吸科、口腔科、耳鼻喉科、重症医学科、内镜室、血透室、CT检查室、手术室等高风险科室和部门开展针对性培训。</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320"/>
        </w:trPr>
        <w:tc>
          <w:tcPr>
            <w:tcW w:w="8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预防和防护措施落实情况</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执行手卫生情况</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医务人员在接触患者前、清洁或无菌操作前、暴露患者血液体液后、接触患者后、接触患者周围环境后五个时刻采取手卫生措施。</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64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正确使用个人防护设备情况</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工作人员能够根据暴露风险和开展的诊疗操作，正确合理使用医用外科或医用防护口罩、护目镜或防护面屏、手套、隔离衣或防护服等个人防护用品。</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640"/>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诊疗设备及环境清洁消毒、终末消毒</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做好诊疗环境(空气、物体表面、地面等)、医疗器械、患者用物等的清洁消毒。</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616"/>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诊疗环境优先选择自然通风，不具备自然通风条件可选择机械通风或空气消毒措施，合理配置新风系统、回风系统和排风系统，建立上送风下回风的气流组织形式。</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675"/>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患者呼吸道分泌物、排泄物、呕吐物能够规范处理，患者出院后严格终末消毒。</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254"/>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患者及陪护人员管理</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规范诊疗流程，疑似病例单人单间隔离治疗，确诊病例可多人收治在同一诊室。</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467"/>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指导、监督患者做好个人防护。</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282"/>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严格陪护及探视管理，做到不探视、不陪护。</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MS Mincho" w:eastAsia="MS Mincho" w:hAnsi="MS Mincho" w:cs="MS Mincho" w:hint="eastAsia"/>
                <w:kern w:val="0"/>
                <w:szCs w:val="21"/>
              </w:rPr>
              <w:t> </w:t>
            </w:r>
          </w:p>
        </w:tc>
      </w:tr>
      <w:tr w:rsidR="009057F5" w:rsidRPr="009057F5" w:rsidTr="009057F5">
        <w:trPr>
          <w:trHeight w:val="625"/>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医务人员管理</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密切接触新冠肺炎相关病例的工作人员(含医务人员、保洁、保安等人员)集中居住，实行闭环管理。</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713"/>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严格落实驻地管理，工作人员应单人单间（带独立卫生间），不混住、相互交流走访，做好个人防护。</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MS Mincho" w:eastAsia="MS Mincho" w:hAnsi="MS Mincho" w:cs="MS Mincho" w:hint="eastAsia"/>
                <w:kern w:val="0"/>
                <w:szCs w:val="21"/>
              </w:rPr>
              <w:t> </w:t>
            </w:r>
          </w:p>
        </w:tc>
      </w:tr>
      <w:tr w:rsidR="009057F5" w:rsidRPr="009057F5" w:rsidTr="009057F5">
        <w:trPr>
          <w:trHeight w:val="857"/>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医用织物处置流程</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使用后感染性医用织物洗涤处置严格执行《医院医用织物洗涤消毒技术规范》（WS/T 508—2016）。</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r w:rsidR="009057F5" w:rsidRPr="009057F5" w:rsidTr="009057F5">
        <w:trPr>
          <w:trHeight w:val="935"/>
        </w:trPr>
        <w:tc>
          <w:tcPr>
            <w:tcW w:w="0" w:type="auto"/>
            <w:vMerge/>
            <w:tcBorders>
              <w:top w:val="nil"/>
              <w:left w:val="single" w:sz="8" w:space="0" w:color="auto"/>
              <w:bottom w:val="single" w:sz="8" w:space="0" w:color="auto"/>
              <w:right w:val="single" w:sz="8" w:space="0" w:color="auto"/>
            </w:tcBorders>
            <w:vAlign w:val="center"/>
            <w:hideMark/>
          </w:tcPr>
          <w:p w:rsidR="009057F5" w:rsidRPr="009057F5" w:rsidRDefault="009057F5" w:rsidP="009057F5">
            <w:pPr>
              <w:widowControl/>
              <w:jc w:val="left"/>
              <w:rPr>
                <w:rFonts w:ascii="Calibri" w:eastAsia="宋体" w:hAnsi="Calibri" w:cs="宋体"/>
                <w:kern w:val="0"/>
                <w:szCs w:val="21"/>
              </w:rPr>
            </w:pP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center"/>
              <w:rPr>
                <w:rFonts w:ascii="Calibri" w:eastAsia="宋体" w:hAnsi="Calibri" w:cs="宋体"/>
                <w:kern w:val="0"/>
                <w:szCs w:val="21"/>
              </w:rPr>
            </w:pPr>
            <w:r w:rsidRPr="009057F5">
              <w:rPr>
                <w:rFonts w:ascii="仿宋" w:eastAsia="仿宋" w:hAnsi="仿宋" w:cs="宋体" w:hint="eastAsia"/>
                <w:kern w:val="0"/>
                <w:sz w:val="24"/>
                <w:szCs w:val="24"/>
              </w:rPr>
              <w:t>医疗废物处置</w:t>
            </w:r>
          </w:p>
        </w:tc>
        <w:tc>
          <w:tcPr>
            <w:tcW w:w="5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rPr>
                <w:rFonts w:ascii="Calibri" w:eastAsia="宋体" w:hAnsi="Calibri" w:cs="宋体"/>
                <w:kern w:val="0"/>
                <w:szCs w:val="21"/>
              </w:rPr>
            </w:pPr>
            <w:r w:rsidRPr="009057F5">
              <w:rPr>
                <w:rFonts w:ascii="仿宋" w:eastAsia="仿宋" w:hAnsi="仿宋" w:cs="宋体" w:hint="eastAsia"/>
                <w:kern w:val="0"/>
                <w:sz w:val="24"/>
                <w:szCs w:val="24"/>
              </w:rPr>
              <w:t>救治过程中产生的医疗废物，严格执行《医疗废物管理条例》和《医疗卫生机构医疗废物管理办法》有关规定。</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p w:rsidR="009057F5" w:rsidRPr="009057F5" w:rsidRDefault="009057F5" w:rsidP="009057F5">
            <w:pPr>
              <w:widowControl/>
              <w:jc w:val="left"/>
              <w:rPr>
                <w:rFonts w:ascii="Calibri" w:eastAsia="宋体" w:hAnsi="Calibri" w:cs="宋体"/>
                <w:kern w:val="0"/>
                <w:szCs w:val="21"/>
              </w:rPr>
            </w:pPr>
            <w:r w:rsidRPr="009057F5">
              <w:rPr>
                <w:rFonts w:ascii="等线" w:eastAsia="等线" w:hAnsi="Calibri" w:cs="宋体" w:hint="eastAsia"/>
                <w:kern w:val="0"/>
                <w:szCs w:val="21"/>
              </w:rPr>
              <w:t xml:space="preserve">　</w:t>
            </w:r>
          </w:p>
        </w:tc>
      </w:tr>
    </w:tbl>
    <w:p w:rsidR="009057F5" w:rsidRPr="009057F5" w:rsidRDefault="009057F5" w:rsidP="009057F5">
      <w:pPr>
        <w:widowControl/>
        <w:rPr>
          <w:rFonts w:ascii="Calibri" w:eastAsia="宋体" w:hAnsi="Calibri" w:cs="宋体"/>
          <w:kern w:val="0"/>
          <w:szCs w:val="21"/>
        </w:rPr>
      </w:pPr>
      <w:r w:rsidRPr="009057F5">
        <w:rPr>
          <w:rFonts w:ascii="MS Mincho" w:eastAsia="MS Mincho" w:hAnsi="MS Mincho" w:cs="MS Mincho" w:hint="eastAsia"/>
          <w:kern w:val="0"/>
          <w:szCs w:val="21"/>
        </w:rPr>
        <w:t> </w:t>
      </w:r>
    </w:p>
    <w:p w:rsidR="009057F5" w:rsidRPr="009057F5" w:rsidRDefault="009057F5" w:rsidP="009057F5">
      <w:pPr>
        <w:widowControl/>
        <w:rPr>
          <w:rFonts w:ascii="Calibri" w:eastAsia="宋体" w:hAnsi="Calibri" w:cs="宋体"/>
          <w:kern w:val="0"/>
          <w:szCs w:val="21"/>
        </w:rPr>
      </w:pPr>
      <w:r w:rsidRPr="009057F5">
        <w:rPr>
          <w:rFonts w:ascii="Calibri" w:eastAsia="宋体" w:hAnsi="Calibri" w:cs="宋体"/>
          <w:kern w:val="0"/>
          <w:szCs w:val="21"/>
        </w:rPr>
        <w:t> </w:t>
      </w:r>
    </w:p>
    <w:p w:rsidR="00E11B9F" w:rsidRDefault="00E11B9F"/>
    <w:sectPr w:rsidR="00E11B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9F" w:rsidRDefault="00E11B9F" w:rsidP="009057F5">
      <w:r>
        <w:separator/>
      </w:r>
    </w:p>
  </w:endnote>
  <w:endnote w:type="continuationSeparator" w:id="1">
    <w:p w:rsidR="00E11B9F" w:rsidRDefault="00E11B9F" w:rsidP="00905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9F" w:rsidRDefault="00E11B9F" w:rsidP="009057F5">
      <w:r>
        <w:separator/>
      </w:r>
    </w:p>
  </w:footnote>
  <w:footnote w:type="continuationSeparator" w:id="1">
    <w:p w:rsidR="00E11B9F" w:rsidRDefault="00E11B9F" w:rsidP="00905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57F5"/>
    <w:rsid w:val="009057F5"/>
    <w:rsid w:val="00E11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57F5"/>
    <w:rPr>
      <w:sz w:val="18"/>
      <w:szCs w:val="18"/>
    </w:rPr>
  </w:style>
  <w:style w:type="paragraph" w:styleId="a4">
    <w:name w:val="footer"/>
    <w:basedOn w:val="a"/>
    <w:link w:val="Char0"/>
    <w:uiPriority w:val="99"/>
    <w:semiHidden/>
    <w:unhideWhenUsed/>
    <w:rsid w:val="009057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57F5"/>
    <w:rPr>
      <w:sz w:val="18"/>
      <w:szCs w:val="18"/>
    </w:rPr>
  </w:style>
  <w:style w:type="paragraph" w:customStyle="1" w:styleId="17">
    <w:name w:val="17"/>
    <w:basedOn w:val="a"/>
    <w:rsid w:val="009057F5"/>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56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CCHE</dc:creator>
  <cp:keywords/>
  <dc:description/>
  <cp:lastModifiedBy>CCHE</cp:lastModifiedBy>
  <cp:revision>2</cp:revision>
  <dcterms:created xsi:type="dcterms:W3CDTF">2021-08-16T10:58:00Z</dcterms:created>
  <dcterms:modified xsi:type="dcterms:W3CDTF">2021-08-16T11:00:00Z</dcterms:modified>
</cp:coreProperties>
</file>